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hanging="0"/>
        <w:jc w:val="left"/>
        <w:textAlignment w:val="baseline"/>
        <w:rPr/>
      </w:pPr>
      <w:r>
        <w:rPr>
          <w:rFonts w:eastAsia="Times New Roman" w:cs="Calibri" w:cstheme="minorHAnsi"/>
          <w:b/>
          <w:bCs/>
          <w:color w:val="000000" w:themeColor="text1"/>
          <w:sz w:val="22"/>
          <w:szCs w:val="22"/>
          <w:lang w:eastAsia="en-GB"/>
        </w:rPr>
        <w:t>Measuring Body Composition</w:t>
      </w:r>
    </w:p>
    <w:p>
      <w:pPr>
        <w:pStyle w:val="ListParagraph"/>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t>Document prepared by: Tom Stubbs</w:t>
      </w:r>
    </w:p>
    <w:p>
      <w:pPr>
        <w:pStyle w:val="ListParagraph"/>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There are various methods for measuring body composition in humans, each providing their own strengths and weaknesses. A single technique is therefore unlikely to suit every situation and it is preferable to refer to multiple measures to get the most accurate results. Common measures of body composition have been outlined in the table below.</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tbl>
      <w:tblPr>
        <w:tblStyle w:val="TableGrid"/>
        <w:tblW w:w="9010" w:type="dxa"/>
        <w:jc w:val="left"/>
        <w:tblInd w:w="0" w:type="dxa"/>
        <w:tblCellMar>
          <w:top w:w="0" w:type="dxa"/>
          <w:left w:w="108" w:type="dxa"/>
          <w:bottom w:w="0" w:type="dxa"/>
          <w:right w:w="108" w:type="dxa"/>
        </w:tblCellMar>
        <w:tblLook w:firstRow="1" w:noVBand="1" w:lastRow="0" w:firstColumn="1" w:lastColumn="0" w:noHBand="0" w:val="04a0"/>
      </w:tblPr>
      <w:tblGrid>
        <w:gridCol w:w="1838"/>
        <w:gridCol w:w="3543"/>
        <w:gridCol w:w="3629"/>
      </w:tblGrid>
      <w:tr>
        <w:trPr/>
        <w:tc>
          <w:tcPr>
            <w:tcW w:w="1838" w:type="dxa"/>
            <w:tcBorders>
              <w:top w:val="single" w:sz="6" w:space="0" w:color="000000"/>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b/>
                <w:bCs/>
                <w:color w:val="000000" w:themeColor="text1"/>
                <w:sz w:val="22"/>
                <w:szCs w:val="22"/>
                <w:lang w:eastAsia="en-GB"/>
              </w:rPr>
              <w:t>Method</w:t>
            </w:r>
          </w:p>
        </w:tc>
        <w:tc>
          <w:tcPr>
            <w:tcW w:w="3543" w:type="dxa"/>
            <w:tcBorders>
              <w:top w:val="single" w:sz="6" w:space="0" w:color="000000"/>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b/>
                <w:bCs/>
                <w:color w:val="000000" w:themeColor="text1"/>
                <w:sz w:val="22"/>
                <w:szCs w:val="22"/>
                <w:lang w:eastAsia="en-GB"/>
              </w:rPr>
              <w:t>Pros</w:t>
            </w:r>
          </w:p>
        </w:tc>
        <w:tc>
          <w:tcPr>
            <w:tcW w:w="3629" w:type="dxa"/>
            <w:tcBorders>
              <w:top w:val="single" w:sz="6" w:space="0" w:color="000000"/>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b/>
                <w:bCs/>
                <w:color w:val="000000" w:themeColor="text1"/>
                <w:sz w:val="22"/>
                <w:szCs w:val="22"/>
                <w:lang w:eastAsia="en-GB"/>
              </w:rPr>
              <w:t>Cons</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Cadaver Analysis</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The most accurate method to measure fat and fat-free mass</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Can only be applied to deceased individuals</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Body Mass Index (BMI)</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Simple,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Strongly correlated with body fatness, morbidity, and mortality in adults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Universally applicable with extensive reference data to compare against</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Fails to differentiate between fat and fat-free mass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Less accurate measure for children and the elderly</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Basic Anthropometry (height or weight)</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Easiest measures to take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Indicates changes over time (useful in children to chart growth)</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Fails to differentiate between fat and fat-free mass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Inaccurate measures of body adiposity</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Abdominal Circumference</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Easy,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Measures intra-abdominal and subcutaneous fat concentration around the abdomen, which is correlated with an increased risk of metabolic disorders, cardiovascular disease, some cancers and mortality</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Strongly correlated with total body fat in adults</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Imperfect indicator of intra-abdominal fat alone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Heterogeneity in application (some clinicians measure waist circumference, belly button circumference or circumference from the widest point)</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Difficult to measure and less accurate in individuals with a BMI &gt; 35</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Waist-to-Hip Ratio (WHR)</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Easy,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Measures intra-abdominal and subcutaneous fat concentration around the abdomen, which is correlated with an increased risk of metabolic disorders, cardiovascular disease, some cancers and mortality</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Strongly correlated with total body fat in adults</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More prone to measurement error due to the use of two variables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Complicated to interpret (increased WHR could be caused by increased abdominal fat or decreased lean muscle mass around the hips)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Difficult to measure and less accurate in individuals with a BMI &gt; 35</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Waist-to-Height Ratio</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Easy,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Strong predictor of total body fat, visceral fat and metabolic syndrome (more powerful than BMI and abdominal circumference)</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More prone to measurement error due to the use of two variables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Difficult to measure and less accurate in individuals with a BMI &gt; 35</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Skinfold Thickness</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Easy,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Portable and convenient</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Safe and accurate method to measure children</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Not as accurate as BMI</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Not as reproducible as other methods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Very difficult to measure in individuals with a BMI &gt; 35</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Bioelectrical Impedance</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Easy, inexpensive application</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Portable and convenient</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Hard to calibrate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Not as accurate as other methods</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Less accurate in individuals with a BMI &gt; 35</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Underwater Weighing (Densitometry)</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Accurate</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Time consuming</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Requires individuals to be submerged underwater</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Air-Displacement Plethysmography</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Accurate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Safe, quick and comfortable</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Expensive</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Dilution Method (Hydrometry)</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Accurate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Low cost</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Suitable for individuals with a BMI &gt; 35 as well as children and pregnant women</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The ratio of body water to fat-free mass may change during illness</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Dual Energy X-ray Absorptiometry (DEXA)</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Accurate</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Expensive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Cannot distinguish between subcutaneous and visceral fat</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Exposes individuals to a low dose of radiation</w:t>
            </w:r>
          </w:p>
        </w:tc>
      </w:tr>
      <w:tr>
        <w:trPr/>
        <w:tc>
          <w:tcPr>
            <w:tcW w:w="1838"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CT and MRI Scans</w:t>
            </w:r>
          </w:p>
        </w:tc>
        <w:tc>
          <w:tcPr>
            <w:tcW w:w="3543" w:type="dxa"/>
            <w:tcBorders>
              <w:top w:val="nil"/>
              <w:left w:val="single" w:sz="6" w:space="0" w:color="000000"/>
              <w:bottom w:val="single" w:sz="6" w:space="0" w:color="000000"/>
              <w:right w:val="nil"/>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The most accurate method to measure fat and fat-free mass</w:t>
            </w:r>
          </w:p>
        </w:tc>
        <w:tc>
          <w:tcPr>
            <w:tcW w:w="3629" w:type="dxa"/>
            <w:tcBorders>
              <w:top w:val="nil"/>
              <w:left w:val="single" w:sz="6" w:space="0" w:color="000000"/>
              <w:bottom w:val="single" w:sz="6" w:space="0" w:color="000000"/>
              <w:right w:val="single" w:sz="6" w:space="0" w:color="000000"/>
            </w:tcBorders>
            <w:shd w:fill="auto" w:val="clear"/>
          </w:tcPr>
          <w:p>
            <w:pPr>
              <w:pStyle w:val="Normal"/>
              <w:bidi w:val="0"/>
              <w:ind w:hanging="0"/>
              <w:jc w:val="left"/>
              <w:textAlignment w:val="baseline"/>
              <w:rPr/>
            </w:pPr>
            <w:r>
              <w:rPr>
                <w:rFonts w:eastAsia="Times New Roman" w:cs="Calibri" w:cstheme="minorHAnsi"/>
                <w:color w:val="000000" w:themeColor="text1"/>
                <w:sz w:val="22"/>
                <w:szCs w:val="22"/>
                <w:lang w:eastAsia="en-GB"/>
              </w:rPr>
              <w:t>Expensive</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CT scanners administer ionising radiation</w:t>
            </w:r>
          </w:p>
        </w:tc>
      </w:tr>
    </w:tbl>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i/>
          <w:iCs/>
          <w:color w:val="000000" w:themeColor="text1"/>
          <w:sz w:val="22"/>
          <w:szCs w:val="22"/>
          <w:lang w:eastAsia="en-GB"/>
        </w:rPr>
        <w:t>Adapted from Duren et. al. (2), Wells &amp; Fewtrell (3), Harvard Medical School (4), NHS (5), Harvard T.H. Chan School of Public Health (6), Van Dijk et. al. (7), Swainson et. al. (8)</w:t>
      </w:r>
    </w:p>
    <w:p>
      <w:pPr>
        <w:pStyle w:val="Normal"/>
        <w:bidi w:val="0"/>
        <w:ind w:hanging="0"/>
        <w:jc w:val="left"/>
        <w:textAlignment w:val="baseline"/>
        <w:rPr>
          <w:rFonts w:eastAsia="Times New Roman" w:cs="Calibri" w:cstheme="minorHAnsi"/>
          <w:i/>
          <w:i/>
          <w:iCs/>
          <w:color w:val="000000" w:themeColor="text1"/>
          <w:sz w:val="22"/>
          <w:szCs w:val="22"/>
          <w:lang w:eastAsia="en-GB"/>
        </w:rPr>
      </w:pPr>
      <w:r>
        <w:rPr>
          <w:rFonts w:eastAsia="Times New Roman" w:cs="Calibri" w:cstheme="minorHAnsi"/>
          <w:i/>
          <w:iCs/>
          <w:color w:val="000000" w:themeColor="text1"/>
          <w:sz w:val="22"/>
          <w:szCs w:val="22"/>
          <w:lang w:eastAsia="en-GB"/>
        </w:rPr>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BMI is an effective tool for population-based screening due to its straightforward interpretation, ease of application and its proven correlation with higher all-cause mortality, highlighted by a meta-analysis of 239 prospective studies across four continents (1). However, BMI is limited as it fails to account for different body fat distributions, such as visceral adiposity, which is associated with an increased mortality risk.</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A meta-analysis investigating the correlation between BMI, waist circumference, waist-to-hip ratio, waist-to-height ratio, body fat percentage and cardiovascular disease risk factors found that waist circumference had the strongest correlation (7).</w:t>
      </w:r>
    </w:p>
    <w:p>
      <w:pPr>
        <w:pStyle w:val="Normal"/>
        <w:bidi w:val="0"/>
        <w:ind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Normal"/>
        <w:bidi w:val="0"/>
        <w:ind w:hanging="0"/>
        <w:jc w:val="left"/>
        <w:textAlignment w:val="baseline"/>
        <w:rPr/>
      </w:pPr>
      <w:r>
        <w:rPr>
          <w:rFonts w:eastAsia="Times New Roman" w:cs="Calibri" w:cstheme="minorHAnsi"/>
          <w:color w:val="000000" w:themeColor="text1"/>
          <w:sz w:val="22"/>
          <w:szCs w:val="22"/>
          <w:lang w:eastAsia="en-GB"/>
        </w:rPr>
        <w:t>In addition, a study of 81 adults compared BMI, waist circumference, waist-to-hip ratio, waist-to-height ratio and waist/height</w:t>
      </w:r>
      <w:r>
        <w:rPr>
          <w:rFonts w:eastAsia="Times New Roman" w:cs="Calibri" w:cstheme="minorHAnsi"/>
          <w:color w:val="000000" w:themeColor="text1"/>
          <w:sz w:val="22"/>
          <w:szCs w:val="22"/>
          <w:vertAlign w:val="superscript"/>
          <w:lang w:eastAsia="en-GB"/>
        </w:rPr>
        <w:t>0.5</w:t>
      </w:r>
      <w:r>
        <w:rPr>
          <w:rFonts w:eastAsia="Times New Roman" w:cs="Calibri" w:cstheme="minorHAnsi"/>
          <w:color w:val="000000" w:themeColor="text1"/>
          <w:sz w:val="22"/>
          <w:szCs w:val="22"/>
          <w:lang w:eastAsia="en-GB"/>
        </w:rPr>
        <w:t xml:space="preserve"> against body fat percentage and visceral fat obtained from dual energy X-ray absorptiometry (8). Waist-to-height ratio was found to be the best predictor of both body fat percentage and visceral fat. Waist-to-height ratio was also found to be the best predictor of metabolic syndrome, when compared against BMI and waist circumference in a Chinese population.</w:t>
      </w:r>
    </w:p>
    <w:p>
      <w:pPr>
        <w:pStyle w:val="Normal"/>
        <w:bidi w:val="0"/>
        <w:ind w:hanging="0"/>
        <w:jc w:val="left"/>
        <w:textAlignment w:val="baseline"/>
        <w:rPr>
          <w:rFonts w:eastAsia="Times New Roman" w:cs="Calibri" w:cstheme="minorHAnsi"/>
          <w:color w:val="000000" w:themeColor="text1"/>
          <w:sz w:val="22"/>
          <w:szCs w:val="22"/>
          <w:lang w:eastAsia="en-GB"/>
        </w:rPr>
      </w:pPr>
      <w:r>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The Global BMI Mortality Collaboration.  2016.  Body-Mass Index and All-Cause Mortality: Individual-Participant-Data Meta-Analysis of 239 Prospective Studies in Four Continents.  </w:t>
      </w:r>
      <w:r>
        <w:rPr>
          <w:rFonts w:eastAsia="Times New Roman" w:cs="Calibri" w:cstheme="minorHAnsi"/>
          <w:i/>
          <w:iCs/>
          <w:color w:val="000000" w:themeColor="text1"/>
          <w:sz w:val="22"/>
          <w:szCs w:val="22"/>
          <w:lang w:eastAsia="en-GB"/>
        </w:rPr>
        <w:t xml:space="preserve">The Lancet.  </w:t>
      </w:r>
      <w:r>
        <w:rPr>
          <w:rFonts w:eastAsia="Times New Roman" w:cs="Calibri" w:cstheme="minorHAnsi"/>
          <w:color w:val="000000" w:themeColor="text1"/>
          <w:sz w:val="22"/>
          <w:szCs w:val="22"/>
          <w:lang w:eastAsia="en-GB"/>
        </w:rPr>
        <w:t xml:space="preserve">388.  pp.776-786.  </w:t>
      </w:r>
      <w:hyperlink r:id="rId2">
        <w:r>
          <w:rPr>
            <w:rStyle w:val="InternetLink"/>
            <w:rFonts w:eastAsia="Times New Roman" w:cs="Calibri" w:cstheme="minorHAnsi"/>
            <w:color w:val="000000" w:themeColor="text1"/>
            <w:sz w:val="22"/>
            <w:szCs w:val="22"/>
            <w:lang w:eastAsia="en-GB"/>
          </w:rPr>
          <w:t>https://www.ncbi.nlm.nih.gov/pubmed/27423262</w:t>
        </w:r>
      </w:hyperlink>
      <w:r>
        <w:rPr>
          <w:rFonts w:eastAsia="Times New Roman" w:cs="Calibri" w:cstheme="minorHAnsi"/>
          <w:color w:val="000000" w:themeColor="text1"/>
          <w:sz w:val="22"/>
          <w:szCs w:val="22"/>
          <w:lang w:eastAsia="en-GB"/>
        </w:rPr>
        <w:t xml:space="preserve"> </w:t>
      </w:r>
    </w:p>
    <w:p>
      <w:pPr>
        <w:pStyle w:val="Normal"/>
        <w:bidi w:val="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Duren, D.L., Sherwood, R.J., Czerwinski, S.A., Lee, M., Choh, A.C., Siervogel, R.M. &amp; Chumlea, W.C.  2008.  Body Composition Methods: Comparisons and Interpretation.  </w:t>
      </w:r>
      <w:r>
        <w:rPr>
          <w:rFonts w:eastAsia="Times New Roman" w:cs="Calibri" w:cstheme="minorHAnsi"/>
          <w:i/>
          <w:iCs/>
          <w:color w:val="000000" w:themeColor="text1"/>
          <w:sz w:val="22"/>
          <w:szCs w:val="22"/>
          <w:lang w:eastAsia="en-GB"/>
        </w:rPr>
        <w:t xml:space="preserve">Journal of Diabetes Science and Technology.  </w:t>
      </w:r>
      <w:r>
        <w:rPr>
          <w:rFonts w:eastAsia="Times New Roman" w:cs="Calibri" w:cstheme="minorHAnsi"/>
          <w:color w:val="000000" w:themeColor="text1"/>
          <w:sz w:val="22"/>
          <w:szCs w:val="22"/>
          <w:lang w:eastAsia="en-GB"/>
        </w:rPr>
        <w:t xml:space="preserve">2(6).  pp.1139-1146.  </w:t>
      </w:r>
      <w:hyperlink r:id="rId3">
        <w:r>
          <w:rPr>
            <w:rStyle w:val="InternetLink"/>
            <w:rFonts w:eastAsia="Times New Roman" w:cs="Calibri" w:cstheme="minorHAnsi"/>
            <w:color w:val="000000" w:themeColor="text1"/>
            <w:sz w:val="22"/>
            <w:szCs w:val="22"/>
            <w:lang w:eastAsia="en-GB"/>
          </w:rPr>
          <w:t>https://www.ncbi.nlm.nih.gov/pmc/articles/PMC2769821/</w:t>
        </w:r>
      </w:hyperlink>
      <w:r>
        <w:rPr>
          <w:rFonts w:eastAsia="Times New Roman" w:cs="Calibri" w:cstheme="minorHAnsi"/>
          <w:color w:val="000000" w:themeColor="text1"/>
          <w:sz w:val="22"/>
          <w:szCs w:val="22"/>
          <w:lang w:eastAsia="en-GB"/>
        </w:rPr>
        <w:t xml:space="preserve"> </w:t>
      </w:r>
    </w:p>
    <w:p>
      <w:pPr>
        <w:pStyle w:val="ListParagraph"/>
        <w:bidi w:val="0"/>
        <w:ind w:left="720" w:hanging="0"/>
        <w:jc w:val="left"/>
        <w:textAlignment w:val="baseline"/>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Wells, J.C.K. &amp; Fewtrell, M.S.  2006.  Measuring Body Composition.  </w:t>
      </w:r>
      <w:r>
        <w:rPr>
          <w:rFonts w:eastAsia="Times New Roman" w:cs="Calibri" w:cstheme="minorHAnsi"/>
          <w:i/>
          <w:iCs/>
          <w:color w:val="000000" w:themeColor="text1"/>
          <w:sz w:val="22"/>
          <w:szCs w:val="22"/>
          <w:lang w:eastAsia="en-GB"/>
        </w:rPr>
        <w:t xml:space="preserve">Archives of Disease in Childhood.  </w:t>
      </w:r>
      <w:r>
        <w:rPr>
          <w:rFonts w:eastAsia="Times New Roman" w:cs="Calibri" w:cstheme="minorHAnsi"/>
          <w:color w:val="000000" w:themeColor="text1"/>
          <w:sz w:val="22"/>
          <w:szCs w:val="22"/>
          <w:lang w:eastAsia="en-GB"/>
        </w:rPr>
        <w:t xml:space="preserve">91(7).  pp.612-617.  </w:t>
      </w:r>
      <w:hyperlink r:id="rId4">
        <w:r>
          <w:rPr>
            <w:rStyle w:val="InternetLink"/>
            <w:rFonts w:eastAsia="Times New Roman" w:cs="Calibri" w:cstheme="minorHAnsi"/>
            <w:color w:val="000000" w:themeColor="text1"/>
            <w:sz w:val="22"/>
            <w:szCs w:val="22"/>
            <w:lang w:eastAsia="en-GB"/>
          </w:rPr>
          <w:t>https://www.ncbi.nlm.nih.gov/pmc/articles/PMC2082845/</w:t>
        </w:r>
      </w:hyperlink>
      <w:r>
        <w:rPr>
          <w:rFonts w:eastAsia="Times New Roman" w:cs="Calibri" w:cstheme="minorHAnsi"/>
          <w:color w:val="000000" w:themeColor="text1"/>
          <w:sz w:val="22"/>
          <w:szCs w:val="22"/>
          <w:lang w:eastAsia="en-GB"/>
        </w:rPr>
        <w:t xml:space="preserve"> </w:t>
      </w:r>
    </w:p>
    <w:p>
      <w:pPr>
        <w:pStyle w:val="ListParagraph"/>
        <w:bidi w:val="0"/>
        <w:jc w:val="left"/>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Harvard Medical School.  2019.  Abdominal Fat and What to do About it.  </w:t>
      </w:r>
      <w:r>
        <w:rPr>
          <w:rFonts w:eastAsia="Times New Roman" w:cs="Calibri" w:cstheme="minorHAnsi"/>
          <w:i/>
          <w:iCs/>
          <w:color w:val="000000" w:themeColor="text1"/>
          <w:sz w:val="22"/>
          <w:szCs w:val="22"/>
          <w:lang w:eastAsia="en-GB"/>
        </w:rPr>
        <w:t xml:space="preserve">health.harvard.edu.  </w:t>
      </w:r>
      <w:hyperlink r:id="rId5">
        <w:r>
          <w:rPr>
            <w:rStyle w:val="InternetLink"/>
            <w:rFonts w:eastAsia="Times New Roman" w:cs="Calibri" w:cstheme="minorHAnsi"/>
            <w:i/>
            <w:iCs/>
            <w:color w:val="000000" w:themeColor="text1"/>
            <w:sz w:val="22"/>
            <w:szCs w:val="22"/>
            <w:lang w:eastAsia="en-GB"/>
          </w:rPr>
          <w:t>https://www.health.harvard.edu/staying-healthy/abdominal-fat-and-what-to-do-about-it</w:t>
        </w:r>
      </w:hyperlink>
      <w:r>
        <w:rPr>
          <w:rFonts w:eastAsia="Times New Roman" w:cs="Calibri" w:cstheme="minorHAnsi"/>
          <w:i/>
          <w:iCs/>
          <w:color w:val="000000" w:themeColor="text1"/>
          <w:sz w:val="22"/>
          <w:szCs w:val="22"/>
          <w:lang w:eastAsia="en-GB"/>
        </w:rPr>
        <w:t xml:space="preserve"> </w:t>
      </w:r>
    </w:p>
    <w:p>
      <w:pPr>
        <w:pStyle w:val="ListParagraph"/>
        <w:bidi w:val="0"/>
        <w:jc w:val="left"/>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NHS.  2015.  Normal BMI with a Big Belly ‘Deadlier than Obesity’.  </w:t>
      </w:r>
      <w:r>
        <w:rPr>
          <w:rFonts w:eastAsia="Times New Roman" w:cs="Calibri" w:cstheme="minorHAnsi"/>
          <w:i/>
          <w:iCs/>
          <w:color w:val="000000" w:themeColor="text1"/>
          <w:sz w:val="22"/>
          <w:szCs w:val="22"/>
          <w:lang w:eastAsia="en-GB"/>
        </w:rPr>
        <w:t xml:space="preserve">nhs.uk.  </w:t>
      </w:r>
      <w:hyperlink r:id="rId6">
        <w:r>
          <w:rPr>
            <w:rStyle w:val="InternetLink"/>
            <w:rFonts w:eastAsia="Times New Roman" w:cs="Calibri" w:cstheme="minorHAnsi"/>
            <w:i/>
            <w:iCs/>
            <w:color w:val="000000" w:themeColor="text1"/>
            <w:sz w:val="22"/>
            <w:szCs w:val="22"/>
            <w:lang w:eastAsia="en-GB"/>
          </w:rPr>
          <w:t>https://www.nhs.uk/news/obesity/normal-bmi-with-a-big-belly-deadlier-than-obesity/</w:t>
        </w:r>
      </w:hyperlink>
      <w:r>
        <w:rPr>
          <w:rFonts w:eastAsia="Times New Roman" w:cs="Calibri" w:cstheme="minorHAnsi"/>
          <w:i/>
          <w:iCs/>
          <w:color w:val="000000" w:themeColor="text1"/>
          <w:sz w:val="22"/>
          <w:szCs w:val="22"/>
          <w:lang w:eastAsia="en-GB"/>
        </w:rPr>
        <w:t xml:space="preserve"> </w:t>
      </w:r>
    </w:p>
    <w:p>
      <w:pPr>
        <w:pStyle w:val="ListParagraph"/>
        <w:bidi w:val="0"/>
        <w:jc w:val="left"/>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Harvard T.H. Chan School of Public Health.  Measuring Obesity.  </w:t>
      </w:r>
      <w:r>
        <w:rPr>
          <w:rFonts w:eastAsia="Times New Roman" w:cs="Calibri" w:cstheme="minorHAnsi"/>
          <w:i/>
          <w:iCs/>
          <w:color w:val="000000" w:themeColor="text1"/>
          <w:sz w:val="22"/>
          <w:szCs w:val="22"/>
          <w:lang w:eastAsia="en-GB"/>
        </w:rPr>
        <w:t xml:space="preserve">hsph.harvard.edu.  </w:t>
      </w:r>
      <w:hyperlink r:id="rId7">
        <w:r>
          <w:rPr>
            <w:rStyle w:val="InternetLink"/>
            <w:rFonts w:eastAsia="Times New Roman" w:cs="Calibri" w:cstheme="minorHAnsi"/>
            <w:i/>
            <w:iCs/>
            <w:color w:val="000000" w:themeColor="text1"/>
            <w:sz w:val="22"/>
            <w:szCs w:val="22"/>
            <w:lang w:eastAsia="en-GB"/>
          </w:rPr>
          <w:t>https://www.hsph.harvard.edu/obesity-prevention-source/obesity-definition/how-to-measure-body-fatness/</w:t>
        </w:r>
      </w:hyperlink>
      <w:r>
        <w:rPr>
          <w:rFonts w:eastAsia="Times New Roman" w:cs="Calibri" w:cstheme="minorHAnsi"/>
          <w:i/>
          <w:iCs/>
          <w:color w:val="000000" w:themeColor="text1"/>
          <w:sz w:val="22"/>
          <w:szCs w:val="22"/>
          <w:lang w:eastAsia="en-GB"/>
        </w:rPr>
        <w:t xml:space="preserve"> </w:t>
      </w:r>
    </w:p>
    <w:p>
      <w:pPr>
        <w:pStyle w:val="ListParagraph"/>
        <w:bidi w:val="0"/>
        <w:jc w:val="left"/>
        <w:rPr>
          <w:rFonts w:eastAsia="Times New Roman" w:cs="Calibri" w:cstheme="minorHAnsi"/>
          <w:color w:val="000000" w:themeColor="text1"/>
          <w:sz w:val="22"/>
          <w:szCs w:val="22"/>
          <w:lang w:eastAsia="en-GB"/>
        </w:rPr>
      </w:pPr>
      <w:r>
        <w:rPr>
          <w:rFonts w:eastAsia="Times New Roman" w:cs="Calibri" w:cstheme="minorHAnsi"/>
          <w:color w:val="000000" w:themeColor="text1"/>
          <w:sz w:val="22"/>
          <w:szCs w:val="22"/>
          <w:lang w:eastAsia="en-GB"/>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Van Dijk, S.B., Takken, T., Prinsen, E.C. &amp; Wittink, H.  2012.  Different Anthropometric Adiposity Measures and their Association with Cardiovascular Disease Risk Factors: A Meta-Analysis. </w:t>
      </w:r>
      <w:r>
        <w:rPr>
          <w:rFonts w:eastAsia="Times New Roman" w:cs="Calibri" w:cstheme="minorHAnsi"/>
          <w:i/>
          <w:iCs/>
          <w:color w:val="000000" w:themeColor="text1"/>
          <w:sz w:val="22"/>
          <w:szCs w:val="22"/>
          <w:lang w:eastAsia="en-GB"/>
        </w:rPr>
        <w:t xml:space="preserve">Netherlands Heart Journal.  </w:t>
      </w:r>
      <w:r>
        <w:rPr>
          <w:rFonts w:eastAsia="Times New Roman" w:cs="Calibri" w:cstheme="minorHAnsi"/>
          <w:color w:val="000000" w:themeColor="text1"/>
          <w:sz w:val="22"/>
          <w:szCs w:val="22"/>
          <w:lang w:eastAsia="en-GB"/>
        </w:rPr>
        <w:t xml:space="preserve">20(5).  pp.208-218.  </w:t>
      </w:r>
      <w:hyperlink r:id="rId8">
        <w:r>
          <w:rPr>
            <w:rStyle w:val="InternetLink"/>
            <w:rFonts w:eastAsia="Times New Roman" w:cs="Calibri" w:cstheme="minorHAnsi"/>
            <w:color w:val="000000" w:themeColor="text1"/>
            <w:sz w:val="22"/>
            <w:szCs w:val="22"/>
            <w:lang w:eastAsia="en-GB"/>
          </w:rPr>
          <w:t>https://www.ncbi.nlm.nih.gov/pubmed/22231153</w:t>
        </w:r>
      </w:hyperlink>
      <w:r>
        <w:rPr>
          <w:rFonts w:eastAsia="Times New Roman" w:cs="Calibri" w:cstheme="minorHAnsi"/>
          <w:color w:val="000000" w:themeColor="text1"/>
          <w:sz w:val="22"/>
          <w:szCs w:val="22"/>
          <w:lang w:eastAsia="en-GB"/>
        </w:rPr>
        <w:t xml:space="preserve"> </w:t>
      </w:r>
    </w:p>
    <w:p>
      <w:pPr>
        <w:pStyle w:val="ListParagraph"/>
        <w:numPr>
          <w:ilvl w:val="0"/>
          <w:numId w:val="0"/>
        </w:numPr>
        <w:bidi w:val="0"/>
        <w:ind w:left="1440" w:hanging="0"/>
        <w:jc w:val="left"/>
        <w:textAlignment w:val="baseline"/>
        <w:rPr>
          <w:rFonts w:eastAsia="Times New Roman" w:cs="Calibri" w:cstheme="minorHAnsi"/>
          <w:color w:val="000000" w:themeColor="text1"/>
          <w:sz w:val="22"/>
          <w:szCs w:val="22"/>
          <w:lang w:eastAsia="en-GB"/>
        </w:rPr>
      </w:pPr>
      <w:r>
        <w:rPr/>
      </w:r>
    </w:p>
    <w:p>
      <w:pPr>
        <w:pStyle w:val="ListParagraph"/>
        <w:numPr>
          <w:ilvl w:val="0"/>
          <w:numId w:val="1"/>
        </w:numPr>
        <w:bidi w:val="0"/>
        <w:jc w:val="left"/>
        <w:textAlignment w:val="baseline"/>
        <w:rPr/>
      </w:pPr>
      <w:r>
        <w:rPr>
          <w:rFonts w:eastAsia="Times New Roman" w:cs="Calibri" w:cstheme="minorHAnsi"/>
          <w:color w:val="000000" w:themeColor="text1"/>
          <w:sz w:val="22"/>
          <w:szCs w:val="22"/>
          <w:lang w:eastAsia="en-GB"/>
        </w:rPr>
        <w:t xml:space="preserve">Swainson, M.G., Batterham, A.M., Tsakirides, C., Rutherford, Z.H. &amp; Hind, K.  2017.  Prediction of Whole-Body Fat Percentage and Visceral Adipose Tissue Mass from Five Anthropometric Variables. </w:t>
      </w:r>
      <w:r>
        <w:rPr>
          <w:rFonts w:eastAsia="Times New Roman" w:cs="Calibri" w:cstheme="minorHAnsi"/>
          <w:i/>
          <w:iCs/>
          <w:color w:val="000000" w:themeColor="text1"/>
          <w:sz w:val="22"/>
          <w:szCs w:val="22"/>
          <w:lang w:eastAsia="en-GB"/>
        </w:rPr>
        <w:t xml:space="preserve">PLOSone.  </w:t>
      </w:r>
      <w:r>
        <w:rPr>
          <w:rFonts w:eastAsia="Times New Roman" w:cs="Calibri" w:cstheme="minorHAnsi"/>
          <w:color w:val="000000" w:themeColor="text1"/>
          <w:sz w:val="22"/>
          <w:szCs w:val="22"/>
          <w:lang w:eastAsia="en-GB"/>
        </w:rPr>
        <w:t xml:space="preserve">12(5).  </w:t>
      </w:r>
      <w:hyperlink r:id="rId9">
        <w:r>
          <w:rPr>
            <w:rStyle w:val="InternetLink"/>
            <w:rFonts w:eastAsia="Times New Roman" w:cs="Calibri" w:cstheme="minorHAnsi"/>
            <w:color w:val="000000" w:themeColor="text1"/>
            <w:sz w:val="22"/>
            <w:szCs w:val="22"/>
            <w:lang w:eastAsia="en-GB"/>
          </w:rPr>
          <w:t>https://www.ncbi.nlm.nih.gov/pubmed/28493988</w:t>
        </w:r>
      </w:hyperlink>
      <w:r>
        <w:rPr>
          <w:rFonts w:eastAsia="Times New Roman" w:cs="Calibri" w:cstheme="minorHAnsi"/>
          <w:color w:val="000000" w:themeColor="text1"/>
          <w:sz w:val="22"/>
          <w:szCs w:val="22"/>
          <w:lang w:eastAsia="en-GB"/>
        </w:rPr>
        <w:t xml:space="preserve"> </w:t>
      </w:r>
    </w:p>
    <w:p>
      <w:pPr>
        <w:pStyle w:val="ListParagraph"/>
        <w:bidi w:val="0"/>
        <w:jc w:val="left"/>
        <w:textAlignment w:val="baseline"/>
        <w:rPr>
          <w:rFonts w:eastAsia="Times New Roman" w:cs="Calibri" w:cstheme="minorHAnsi"/>
          <w:color w:val="000000" w:themeColor="text1"/>
          <w:sz w:val="22"/>
          <w:szCs w:val="22"/>
          <w:lang w:eastAsia="en-GB"/>
        </w:rPr>
      </w:pPr>
      <w:r>
        <w:rPr/>
      </w:r>
    </w:p>
    <w:p>
      <w:pPr>
        <w:pStyle w:val="ListParagraph"/>
        <w:bidi w:val="0"/>
        <w:jc w:val="left"/>
        <w:textAlignment w:val="baseline"/>
        <w:rPr>
          <w:rFonts w:eastAsia="Times New Roman" w:cs="Calibri" w:cstheme="minorHAnsi"/>
          <w:color w:val="000000" w:themeColor="text1"/>
          <w:sz w:val="22"/>
          <w:szCs w:val="22"/>
          <w:lang w:eastAsia="en-GB"/>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en-AU" w:eastAsia="zh-CN" w:bidi="hi-IN"/>
    </w:rPr>
  </w:style>
  <w:style w:type="character" w:styleId="DefaultParagraphFont">
    <w:name w:val="Default Paragraph Font"/>
    <w:qFormat/>
    <w:rPr/>
  </w:style>
  <w:style w:type="character" w:styleId="InternetLink">
    <w:name w:val="Internet Link"/>
    <w:basedOn w:val="DefaultParagraphFont"/>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left="720" w:firstLine="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yperlink" Target="about:blank" TargetMode="Externa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9" Type="http://schemas.openxmlformats.org/officeDocument/2006/relationships/hyperlink" Target="about:blank"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LibreOffice/6.3.3.2$Windows_X86_64 LibreOffice_project/a64200df03143b798afd1ec74a12ab50359878ed</Application>
  <Pages>3</Pages>
  <Words>898</Words>
  <Characters>5811</Characters>
  <CharactersWithSpaces>6661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2020-05-10T11:12:18Z</dcterms:created>
  <dc:creator>Richard Heller</dc:creator>
  <dc:description/>
  <dc:language>en-AU</dc:language>
  <cp:lastModifiedBy>Richard Heller</cp:lastModifiedBy>
  <dcterms:modified xsi:type="dcterms:W3CDTF">2020-05-10T11:21:04Z</dcterms:modified>
  <cp:revision>3</cp:revision>
  <dc:subject/>
  <dc:title/>
</cp:coreProperties>
</file>